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南银理财珠联璧合鑫逸稳一年64期封闭式公募人民币理财产品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南银理财珠联璧合鑫逸稳一年64期封闭式公募人民币理财产品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Z7003222000037（投资者可依据该编码在中国理财网www.chinawealth.com.cn查询理财产品相关信息）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2022年06月15日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1,509,869,162.00份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华夏基金管理有限公司、鑫元基金管理有限公司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Y30064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108,532,628.52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1.0258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1.0258</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Y31064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1,442,713,792.02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1.0275</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1.0275</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截至报告期末，本产品Y30064份额净值为1.0258元，Y31064份额净值为1.0275元。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393,485,515.84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324,276,778.58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20.90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22088799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22南京滨江05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19.02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22088763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22江宁城建04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7.74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22淮安国联06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6.45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22088859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22安吉两山01（绿色）</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97,000,000.00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6.25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90,330,692.75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5.82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22088878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22兴化城投02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22088786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22清浦城投01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22088839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22宿迁运河港03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南京江宁城市建设集团有限公司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22江宁城建04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兴化市城市建设投资有限公司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22兴化城投02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浙江安吉两山国有控股集团有限公司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22安吉两山01（绿色）</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南京滨江投资发展有限公司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22南京滨江05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85</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按季付息，到期还本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淮安市清江浦融合投资控股集团有限公司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22清浦城投01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85</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宿迁市运河港区开发集团有限公司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22宿迁运河港03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淮安市国有联合投资发展集团有限公司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22淮安国联06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按半年付息，到期还本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0120040000000835</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南银理财鑫逸稳一年64期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产品投资关联方作为管理人的资产管理产品交易金额12,000,000.00元。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319,058.24</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